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EEC1" w14:textId="4F0A6132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rPr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333333"/>
          <w:sz w:val="32"/>
          <w:szCs w:val="32"/>
        </w:rPr>
        <w:t>1</w:t>
      </w:r>
    </w:p>
    <w:p w14:paraId="0A0228A0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jc w:val="center"/>
        <w:rPr>
          <w:rFonts w:hint="eastAsia"/>
          <w:color w:val="333333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国家语委“十四五”科研规划项目2025年选题指南</w:t>
      </w:r>
    </w:p>
    <w:p w14:paraId="0FDD32AF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14:paraId="33EE0BA9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</w:t>
      </w:r>
      <w:r>
        <w:rPr>
          <w:rFonts w:ascii="黑体" w:eastAsia="黑体" w:hAnsi="黑体" w:cs="Times New Roman"/>
          <w:color w:val="333333"/>
          <w:sz w:val="32"/>
          <w:szCs w:val="32"/>
        </w:rPr>
        <w:t>重大项目</w:t>
      </w:r>
    </w:p>
    <w:p w14:paraId="4E42330D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语言文字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思政教育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功能与实现方式研究</w:t>
      </w:r>
    </w:p>
    <w:p w14:paraId="5CAD5FB3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2.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全球数字空间中文影响力调查与提升研究（研究时间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1—2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年）</w:t>
      </w:r>
    </w:p>
    <w:p w14:paraId="023D380A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3.“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十五五</w:t>
      </w:r>
      <w:r>
        <w:rPr>
          <w:rFonts w:ascii="Times New Roman" w:hAnsi="Times New Roman" w:cs="Times New Roman"/>
          <w:color w:val="333333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规划背景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下语言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科学的理论建构与话语体系研究</w:t>
      </w:r>
    </w:p>
    <w:p w14:paraId="019B7B3A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4.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大中小学中华优秀语言文化传承教育一体化建设研究</w:t>
      </w:r>
    </w:p>
    <w:p w14:paraId="44D31E43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5.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中国特色语言文明及其国际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交流互鉴的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理论与实践研究</w:t>
      </w:r>
    </w:p>
    <w:p w14:paraId="723CD808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6.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中国老年人语言健康标准研究</w:t>
      </w:r>
    </w:p>
    <w:p w14:paraId="2338A6FD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/>
          <w:color w:val="333333"/>
          <w:sz w:val="32"/>
          <w:szCs w:val="32"/>
        </w:rPr>
        <w:t>二、重点项目</w:t>
      </w:r>
    </w:p>
    <w:p w14:paraId="4F6B09F5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语言服务赋能国家关键领域发展的理论构建与实践路径研究（分领域申报）</w:t>
      </w:r>
    </w:p>
    <w:p w14:paraId="5869D1DF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lastRenderedPageBreak/>
        <w:t>2.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中国特色教育话语体系及其关键词语研究（分领域申报，基础教育领域已立项）</w:t>
      </w:r>
    </w:p>
    <w:p w14:paraId="6EA537FE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3.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乡村文化振兴视域下乡村语言景观治理与规划研究</w:t>
      </w:r>
    </w:p>
    <w:p w14:paraId="5361FF43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4.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旅游城市语言服务评价标准研究</w:t>
      </w:r>
    </w:p>
    <w:p w14:paraId="718A8E12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5.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语言数据要素驱动产业发展的统计测度与实现路径研究（研究时间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1—2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年）</w:t>
      </w:r>
    </w:p>
    <w:p w14:paraId="6B79357C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6.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语言文字大数据治理框架及其规范标准研究</w:t>
      </w:r>
    </w:p>
    <w:p w14:paraId="2405B415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7.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基于大数据的语言能力测量框架研究</w:t>
      </w:r>
    </w:p>
    <w:p w14:paraId="09DA61F9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8.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数智化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时代儿童早期语言能力形成与发展研究</w:t>
      </w:r>
    </w:p>
    <w:p w14:paraId="19ED46DB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9.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面向</w:t>
      </w:r>
      <w:proofErr w:type="gramStart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视听双障</w:t>
      </w:r>
      <w:proofErr w:type="gramEnd"/>
      <w:r>
        <w:rPr>
          <w:rFonts w:ascii="仿宋_GB2312" w:eastAsia="仿宋_GB2312" w:hAnsi="Times New Roman" w:cs="Times New Roman"/>
          <w:color w:val="333333"/>
          <w:sz w:val="32"/>
          <w:szCs w:val="32"/>
        </w:rPr>
        <w:t>人群的触觉手语与手指盲文语料库建设研究</w:t>
      </w:r>
    </w:p>
    <w:p w14:paraId="3EC3F848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10.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国家通用盲文规范词语表研究</w:t>
      </w:r>
    </w:p>
    <w:p w14:paraId="7F18A8E3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11.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全球竞争背景下边境安全中语言风险评估与对策研究</w:t>
      </w:r>
    </w:p>
    <w:p w14:paraId="7013F849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/>
          <w:color w:val="333333"/>
          <w:sz w:val="32"/>
          <w:szCs w:val="32"/>
        </w:rPr>
        <w:t>三、一般项目</w:t>
      </w:r>
    </w:p>
    <w:p w14:paraId="4928F10B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国家通用语言文字法实施视阈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下地方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语言文字治理体系与能力建设研究</w:t>
      </w:r>
    </w:p>
    <w:p w14:paraId="42B41BD2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lastRenderedPageBreak/>
        <w:t>2.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中华优秀语言文化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融入家校社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协同育人的路径与机制研究</w:t>
      </w:r>
    </w:p>
    <w:p w14:paraId="129C258D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新时代高校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思政课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话语体系改革创新研究</w:t>
      </w:r>
    </w:p>
    <w:p w14:paraId="0B595909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大学语文课程体系创新研究</w:t>
      </w:r>
    </w:p>
    <w:p w14:paraId="7DB95454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文化创意产业中的语言资源开发与应用研究</w:t>
      </w:r>
    </w:p>
    <w:p w14:paraId="49E52535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6.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中文数字化进程与“十五五”期间发展策略研究（研究时间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年）</w:t>
      </w:r>
    </w:p>
    <w:p w14:paraId="76D1447B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7.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面向青少年学生职业发展需要的核心语言能力研究</w:t>
      </w:r>
    </w:p>
    <w:p w14:paraId="553D27E8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8.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人机协同的语言翻译人才培养研究</w:t>
      </w:r>
    </w:p>
    <w:p w14:paraId="2630C7A0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9.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面向全球的“外语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”复合型人才培养研究</w:t>
      </w:r>
    </w:p>
    <w:p w14:paraId="3866FE85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10.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语言密集型行业的人才供需适配机制研究（分行业申报）</w:t>
      </w:r>
    </w:p>
    <w:p w14:paraId="623F1366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11.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面向“一带一路”经贸合作的“专业技能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语言能力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跨域文化”行业术语与教学资源建设研究（分行业申报）</w:t>
      </w:r>
    </w:p>
    <w:p w14:paraId="28D81D27" w14:textId="77777777" w:rsidR="00F24AA7" w:rsidRDefault="00F24AA7" w:rsidP="00F24AA7">
      <w:pPr>
        <w:pStyle w:val="af2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12.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跨境电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商语言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服务需求及其发展趋势研究</w:t>
      </w:r>
    </w:p>
    <w:p w14:paraId="037F42B1" w14:textId="77777777" w:rsidR="008C5416" w:rsidRPr="00F24AA7" w:rsidRDefault="008C5416">
      <w:pPr>
        <w:rPr>
          <w:rFonts w:hint="eastAsia"/>
        </w:rPr>
      </w:pPr>
    </w:p>
    <w:sectPr w:rsidR="008C5416" w:rsidRPr="00F2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2A1E" w14:textId="77777777" w:rsidR="006A4051" w:rsidRDefault="006A4051" w:rsidP="00F24AA7">
      <w:pPr>
        <w:rPr>
          <w:rFonts w:hint="eastAsia"/>
        </w:rPr>
      </w:pPr>
      <w:r>
        <w:separator/>
      </w:r>
    </w:p>
  </w:endnote>
  <w:endnote w:type="continuationSeparator" w:id="0">
    <w:p w14:paraId="5DB1BC18" w14:textId="77777777" w:rsidR="006A4051" w:rsidRDefault="006A4051" w:rsidP="00F24A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91B8D" w14:textId="77777777" w:rsidR="006A4051" w:rsidRDefault="006A4051" w:rsidP="00F24AA7">
      <w:pPr>
        <w:rPr>
          <w:rFonts w:hint="eastAsia"/>
        </w:rPr>
      </w:pPr>
      <w:r>
        <w:separator/>
      </w:r>
    </w:p>
  </w:footnote>
  <w:footnote w:type="continuationSeparator" w:id="0">
    <w:p w14:paraId="07E7C608" w14:textId="77777777" w:rsidR="006A4051" w:rsidRDefault="006A4051" w:rsidP="00F24A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9E"/>
    <w:rsid w:val="002D3D9E"/>
    <w:rsid w:val="006A4051"/>
    <w:rsid w:val="008C5416"/>
    <w:rsid w:val="00901276"/>
    <w:rsid w:val="00F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354D5"/>
  <w15:chartTrackingRefBased/>
  <w15:docId w15:val="{0F787D1F-5750-44D9-8A17-96F1FC6A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3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D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D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D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D3D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D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D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D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D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3D9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24A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24A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2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24AA7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F24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411</Characters>
  <Application>Microsoft Office Word</Application>
  <DocSecurity>0</DocSecurity>
  <Lines>20</Lines>
  <Paragraphs>12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 陶</dc:creator>
  <cp:keywords/>
  <dc:description/>
  <cp:lastModifiedBy>雅 陶</cp:lastModifiedBy>
  <cp:revision>2</cp:revision>
  <dcterms:created xsi:type="dcterms:W3CDTF">2025-07-28T02:01:00Z</dcterms:created>
  <dcterms:modified xsi:type="dcterms:W3CDTF">2025-07-28T02:01:00Z</dcterms:modified>
</cp:coreProperties>
</file>